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A5" w:rsidRDefault="00E345A5" w:rsidP="00E345A5">
      <w:pPr>
        <w:pStyle w:val="a3"/>
        <w:shd w:val="clear" w:color="auto" w:fill="FFFFFF"/>
        <w:spacing w:before="262" w:beforeAutospacing="0" w:after="262" w:afterAutospacing="0"/>
        <w:jc w:val="both"/>
        <w:rPr>
          <w:rFonts w:ascii="Arial" w:hAnsi="Arial" w:cs="Arial"/>
          <w:color w:val="0E2F43"/>
        </w:rPr>
      </w:pPr>
      <w:r>
        <w:rPr>
          <w:rStyle w:val="a4"/>
          <w:rFonts w:ascii="Arial" w:hAnsi="Arial" w:cs="Arial"/>
          <w:color w:val="0E2F43"/>
        </w:rPr>
        <w:t>ПАМЯТКА ПО ПРОВЕДЕНИЮ АНТИКОРРУПЦИОННОЙ ЭКСПЕРТИЗЫ МУНИЦИПАЛЬНЫХ НОРМАТИВНЫХ ПРАВОВЫХ АКТОВ</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 xml:space="preserve">Рекомендуется начинать проведение </w:t>
      </w:r>
      <w:proofErr w:type="spellStart"/>
      <w:r w:rsidRPr="00E345A5">
        <w:rPr>
          <w:rStyle w:val="a4"/>
          <w:rFonts w:ascii="Arial" w:hAnsi="Arial" w:cs="Arial"/>
          <w:color w:val="0E2F43"/>
          <w:sz w:val="28"/>
          <w:szCs w:val="28"/>
        </w:rPr>
        <w:t>антикоррупционной</w:t>
      </w:r>
      <w:proofErr w:type="spellEnd"/>
      <w:r w:rsidRPr="00E345A5">
        <w:rPr>
          <w:rStyle w:val="a4"/>
          <w:rFonts w:ascii="Arial" w:hAnsi="Arial" w:cs="Arial"/>
          <w:color w:val="0E2F43"/>
          <w:sz w:val="28"/>
          <w:szCs w:val="28"/>
        </w:rPr>
        <w:t xml:space="preserve"> экспертизы с определения компетентности принявшего акт органа местного самоуправления.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В первую очередь рекомендуется определить,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законами, законами субъектов Российской Федерации, уставом муниципального образования.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При определении компетенции следует иметь </w:t>
      </w:r>
      <w:proofErr w:type="gramStart"/>
      <w:r w:rsidRPr="00E345A5">
        <w:rPr>
          <w:rFonts w:ascii="Arial" w:hAnsi="Arial" w:cs="Arial"/>
          <w:color w:val="0E2F43"/>
          <w:sz w:val="28"/>
          <w:szCs w:val="28"/>
        </w:rPr>
        <w:t>ввиду</w:t>
      </w:r>
      <w:proofErr w:type="gramEnd"/>
      <w:r w:rsidRPr="00E345A5">
        <w:rPr>
          <w:rFonts w:ascii="Arial" w:hAnsi="Arial" w:cs="Arial"/>
          <w:color w:val="0E2F43"/>
          <w:sz w:val="28"/>
          <w:szCs w:val="28"/>
        </w:rPr>
        <w:t xml:space="preserve">, что </w:t>
      </w:r>
      <w:proofErr w:type="gramStart"/>
      <w:r w:rsidRPr="00E345A5">
        <w:rPr>
          <w:rFonts w:ascii="Arial" w:hAnsi="Arial" w:cs="Arial"/>
          <w:color w:val="0E2F43"/>
          <w:sz w:val="28"/>
          <w:szCs w:val="28"/>
        </w:rPr>
        <w:t>в</w:t>
      </w:r>
      <w:proofErr w:type="gramEnd"/>
      <w:r w:rsidRPr="00E345A5">
        <w:rPr>
          <w:rFonts w:ascii="Arial" w:hAnsi="Arial" w:cs="Arial"/>
          <w:color w:val="0E2F43"/>
          <w:sz w:val="28"/>
          <w:szCs w:val="28"/>
        </w:rPr>
        <w:t xml:space="preserve"> соответствии со статьей 2 Федерального закона № 131-ФЗ «Об общих принципах организации местного самоуправления в Российской Федерации» (далее – Федеральный закон № 131-ФЗ) муниципальные правовые акты могут приниматься: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а) непосредственно населением муниципального образования по вопросам местного значения;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proofErr w:type="gramStart"/>
      <w:r w:rsidRPr="00E345A5">
        <w:rPr>
          <w:rFonts w:ascii="Arial" w:hAnsi="Arial" w:cs="Arial"/>
          <w:color w:val="0E2F43"/>
          <w:sz w:val="28"/>
          <w:szCs w:val="28"/>
        </w:rPr>
        <w:t>б) органами местного самоуправления и (или) должностными лицами местного самоуправления -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roofErr w:type="gramEnd"/>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В соответствии с частями 3, 4 и 6 статьи 43 Федерального закона № 131-ФЗ полномочия органов местного самоуправления определяются федеральными законами, законами субъектов Российской Федерации, уставами муниципальных образований.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Во вторую очередь рекомендуется определить, к компетенции какого именно из органов местного самоуправления (в соответствии со структурой и полномочиями органов местного самоуправления, определенными уставом муниципального образования) относится регулирование правоотношений.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 xml:space="preserve">Например, в соответствии с пунктом 5 части 10 статьи 35 Федерального закона № 131-ФЗ в исключительной компетенции </w:t>
      </w:r>
      <w:r w:rsidRPr="00E345A5">
        <w:rPr>
          <w:rStyle w:val="a5"/>
          <w:rFonts w:ascii="Arial" w:hAnsi="Arial" w:cs="Arial"/>
          <w:color w:val="0E2F43"/>
          <w:sz w:val="28"/>
          <w:szCs w:val="28"/>
        </w:rPr>
        <w:lastRenderedPageBreak/>
        <w:t>представительного органа муниципального образования находится определение порядка управления и распоряжения муниципальным имуществом. Принятие конкретных решений по вопросам управления и распоряжения им относится к исполнительно-распорядительным полномочиям органов местного самоуправления, которые реализует местная администрация.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В третью очередь необходимо определить пределы правового регулирования органов местного самоуправления в рамках данных правоотношений (как правило, они отражены в преамбуле акта).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Разграничение полномочий между различными уровнями публичной власти осуществляется в соответствии с законом.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Пример: В соответствии со ст. 56 Федерального закона от 06.10.2003 № 131-ФЗ вопросы введения и использования средств самообложения граждан решаются на местном референдуме (сходе граждан).</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Порядок проведения местного референдума в соответствии с частью 10 статьи 22 Федерального закона устанавливаются федеральным законом и принимаемыми в соответствии с ним законами субъектов Российской Федерации.</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Следовательно, органы местного самоуправления по вопросам самообложения могут принимать лишь акты организационного характера.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 регулирующими правоотношения в определенной сфере.</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Необходимо учитывать, что принятие двух и более актов, регулирующих одни и те же правоотношения, способно привести к возможности применения любого из указанных актов «на выбор», то есть по усмотрению органов (должностных лиц) местного самоуправления, что само по себе порождает возможность проявления коррупционных проявлений.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 xml:space="preserve">Пример: правила благоустройства, утверждаемые представительным органом местного самоуправления, в которые включается глава о правилах проведения земляных работ либо правилах уборки территорий и правила проведения земляных работ </w:t>
      </w:r>
      <w:r w:rsidRPr="00E345A5">
        <w:rPr>
          <w:rStyle w:val="a5"/>
          <w:rFonts w:ascii="Arial" w:hAnsi="Arial" w:cs="Arial"/>
          <w:color w:val="0E2F43"/>
          <w:sz w:val="28"/>
          <w:szCs w:val="28"/>
        </w:rPr>
        <w:lastRenderedPageBreak/>
        <w:t>(правила уборки территорий) в виде отдельного правового акта местной администрации.</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 xml:space="preserve">Далее следует переходить к непосредственному анализу </w:t>
      </w:r>
      <w:proofErr w:type="spellStart"/>
      <w:r w:rsidRPr="00E345A5">
        <w:rPr>
          <w:rStyle w:val="a4"/>
          <w:rFonts w:ascii="Arial" w:hAnsi="Arial" w:cs="Arial"/>
          <w:color w:val="0E2F43"/>
          <w:sz w:val="28"/>
          <w:szCs w:val="28"/>
        </w:rPr>
        <w:t>коррупциогенности</w:t>
      </w:r>
      <w:proofErr w:type="spellEnd"/>
      <w:r w:rsidRPr="00E345A5">
        <w:rPr>
          <w:rStyle w:val="a4"/>
          <w:rFonts w:ascii="Arial" w:hAnsi="Arial" w:cs="Arial"/>
          <w:color w:val="0E2F43"/>
          <w:sz w:val="28"/>
          <w:szCs w:val="28"/>
        </w:rPr>
        <w:t xml:space="preserve"> (</w:t>
      </w:r>
      <w:proofErr w:type="spellStart"/>
      <w:r w:rsidRPr="00E345A5">
        <w:rPr>
          <w:rStyle w:val="a4"/>
          <w:rFonts w:ascii="Arial" w:hAnsi="Arial" w:cs="Arial"/>
          <w:color w:val="0E2F43"/>
          <w:sz w:val="28"/>
          <w:szCs w:val="28"/>
        </w:rPr>
        <w:t>антикоррупционной</w:t>
      </w:r>
      <w:proofErr w:type="spellEnd"/>
      <w:r w:rsidRPr="00E345A5">
        <w:rPr>
          <w:rStyle w:val="a4"/>
          <w:rFonts w:ascii="Arial" w:hAnsi="Arial" w:cs="Arial"/>
          <w:color w:val="0E2F43"/>
          <w:sz w:val="28"/>
          <w:szCs w:val="28"/>
        </w:rPr>
        <w:t xml:space="preserve"> экспертизе) нормативного правового акта.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Для обеспечения обоснованности, объективности и </w:t>
      </w:r>
      <w:proofErr w:type="spellStart"/>
      <w:r w:rsidRPr="00E345A5">
        <w:rPr>
          <w:rFonts w:ascii="Arial" w:hAnsi="Arial" w:cs="Arial"/>
          <w:color w:val="0E2F43"/>
          <w:sz w:val="28"/>
          <w:szCs w:val="28"/>
        </w:rPr>
        <w:t>проверяемости</w:t>
      </w:r>
      <w:proofErr w:type="spellEnd"/>
      <w:r w:rsidRPr="00E345A5">
        <w:rPr>
          <w:rFonts w:ascii="Arial" w:hAnsi="Arial" w:cs="Arial"/>
          <w:color w:val="0E2F43"/>
          <w:sz w:val="28"/>
          <w:szCs w:val="28"/>
        </w:rPr>
        <w:t xml:space="preserve"> результатов </w:t>
      </w:r>
      <w:proofErr w:type="spellStart"/>
      <w:r w:rsidRPr="00E345A5">
        <w:rPr>
          <w:rFonts w:ascii="Arial" w:hAnsi="Arial" w:cs="Arial"/>
          <w:color w:val="0E2F43"/>
          <w:sz w:val="28"/>
          <w:szCs w:val="28"/>
        </w:rPr>
        <w:t>антикоррупционной</w:t>
      </w:r>
      <w:proofErr w:type="spellEnd"/>
      <w:r w:rsidRPr="00E345A5">
        <w:rPr>
          <w:rFonts w:ascii="Arial" w:hAnsi="Arial" w:cs="Arial"/>
          <w:color w:val="0E2F43"/>
          <w:sz w:val="28"/>
          <w:szCs w:val="28"/>
        </w:rPr>
        <w:t xml:space="preserve"> экспертизы необходимо проводить экспертизу каждой нормы нормативного правового акта или положения проекта нормативного правового акта.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proofErr w:type="spellStart"/>
      <w:r w:rsidRPr="00E345A5">
        <w:rPr>
          <w:rFonts w:ascii="Arial" w:hAnsi="Arial" w:cs="Arial"/>
          <w:color w:val="0E2F43"/>
          <w:sz w:val="28"/>
          <w:szCs w:val="28"/>
        </w:rPr>
        <w:t>Антикоррупционная</w:t>
      </w:r>
      <w:proofErr w:type="spellEnd"/>
      <w:r w:rsidRPr="00E345A5">
        <w:rPr>
          <w:rFonts w:ascii="Arial" w:hAnsi="Arial" w:cs="Arial"/>
          <w:color w:val="0E2F43"/>
          <w:sz w:val="28"/>
          <w:szCs w:val="28"/>
        </w:rPr>
        <w:t xml:space="preserve"> экспертиза проводится в соответствии с Методикой проведения </w:t>
      </w:r>
      <w:proofErr w:type="spellStart"/>
      <w:r w:rsidRPr="00E345A5">
        <w:rPr>
          <w:rFonts w:ascii="Arial" w:hAnsi="Arial" w:cs="Arial"/>
          <w:color w:val="0E2F43"/>
          <w:sz w:val="28"/>
          <w:szCs w:val="28"/>
        </w:rPr>
        <w:t>антикоррупционной</w:t>
      </w:r>
      <w:proofErr w:type="spellEnd"/>
      <w:r w:rsidRPr="00E345A5">
        <w:rPr>
          <w:rFonts w:ascii="Arial" w:hAnsi="Arial" w:cs="Arial"/>
          <w:color w:val="0E2F43"/>
          <w:sz w:val="28"/>
          <w:szCs w:val="28"/>
        </w:rPr>
        <w:t xml:space="preserve"> экспертизы нормативных правовых актов и проектов нормативных правовых актов, утвержденной постановлением Правительства РФ от 26.02.2010 № 96 (далее – Методика).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В заключении по результатам </w:t>
      </w:r>
      <w:proofErr w:type="spellStart"/>
      <w:r w:rsidRPr="00E345A5">
        <w:rPr>
          <w:rFonts w:ascii="Arial" w:hAnsi="Arial" w:cs="Arial"/>
          <w:color w:val="0E2F43"/>
          <w:sz w:val="28"/>
          <w:szCs w:val="28"/>
        </w:rPr>
        <w:t>антикоррупционной</w:t>
      </w:r>
      <w:proofErr w:type="spellEnd"/>
      <w:r w:rsidRPr="00E345A5">
        <w:rPr>
          <w:rFonts w:ascii="Arial" w:hAnsi="Arial" w:cs="Arial"/>
          <w:color w:val="0E2F43"/>
          <w:sz w:val="28"/>
          <w:szCs w:val="28"/>
        </w:rPr>
        <w:t xml:space="preserve"> экспертизы указываются конкретные нормы нормативного правового акта или положения проекта нормативного правового акта, содержащие </w:t>
      </w:r>
      <w:proofErr w:type="spellStart"/>
      <w:r w:rsidRPr="00E345A5">
        <w:rPr>
          <w:rFonts w:ascii="Arial" w:hAnsi="Arial" w:cs="Arial"/>
          <w:color w:val="0E2F43"/>
          <w:sz w:val="28"/>
          <w:szCs w:val="28"/>
        </w:rPr>
        <w:t>коррупциогенные</w:t>
      </w:r>
      <w:proofErr w:type="spellEnd"/>
      <w:r w:rsidRPr="00E345A5">
        <w:rPr>
          <w:rFonts w:ascii="Arial" w:hAnsi="Arial" w:cs="Arial"/>
          <w:color w:val="0E2F43"/>
          <w:sz w:val="28"/>
          <w:szCs w:val="28"/>
        </w:rPr>
        <w:t xml:space="preserve"> факторы, указанные в Методике, и предложены способы их устранения.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Это может быть общий вывод о необходимости внесения изменений и (или) дополнений в нормативный правовой акт, вывод о необходимости отмены нормативного правового акта, об отклонении или доработке проекта нормативного правового акта.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При этом допустимо предлагать конкретные изменения и дополнения, а также </w:t>
      </w:r>
      <w:proofErr w:type="spellStart"/>
      <w:r w:rsidRPr="00E345A5">
        <w:rPr>
          <w:rFonts w:ascii="Arial" w:hAnsi="Arial" w:cs="Arial"/>
          <w:color w:val="0E2F43"/>
          <w:sz w:val="28"/>
          <w:szCs w:val="28"/>
        </w:rPr>
        <w:t>антикоррупционные</w:t>
      </w:r>
      <w:proofErr w:type="spellEnd"/>
      <w:r w:rsidRPr="00E345A5">
        <w:rPr>
          <w:rFonts w:ascii="Arial" w:hAnsi="Arial" w:cs="Arial"/>
          <w:color w:val="0E2F43"/>
          <w:sz w:val="28"/>
          <w:szCs w:val="28"/>
        </w:rPr>
        <w:t xml:space="preserve"> формулировки норм с тем, чтобы разъяснить </w:t>
      </w:r>
      <w:proofErr w:type="spellStart"/>
      <w:r w:rsidRPr="00E345A5">
        <w:rPr>
          <w:rFonts w:ascii="Arial" w:hAnsi="Arial" w:cs="Arial"/>
          <w:color w:val="0E2F43"/>
          <w:sz w:val="28"/>
          <w:szCs w:val="28"/>
        </w:rPr>
        <w:t>коррупциогенности</w:t>
      </w:r>
      <w:proofErr w:type="spellEnd"/>
      <w:r w:rsidRPr="00E345A5">
        <w:rPr>
          <w:rFonts w:ascii="Arial" w:hAnsi="Arial" w:cs="Arial"/>
          <w:color w:val="0E2F43"/>
          <w:sz w:val="28"/>
          <w:szCs w:val="28"/>
        </w:rPr>
        <w:t xml:space="preserve"> анализируемых норм.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Также в заключении по результатам </w:t>
      </w:r>
      <w:proofErr w:type="spellStart"/>
      <w:r w:rsidRPr="00E345A5">
        <w:rPr>
          <w:rFonts w:ascii="Arial" w:hAnsi="Arial" w:cs="Arial"/>
          <w:color w:val="0E2F43"/>
          <w:sz w:val="28"/>
          <w:szCs w:val="28"/>
        </w:rPr>
        <w:t>антикоррупционной</w:t>
      </w:r>
      <w:proofErr w:type="spellEnd"/>
      <w:r w:rsidRPr="00E345A5">
        <w:rPr>
          <w:rFonts w:ascii="Arial" w:hAnsi="Arial" w:cs="Arial"/>
          <w:color w:val="0E2F43"/>
          <w:sz w:val="28"/>
          <w:szCs w:val="28"/>
        </w:rPr>
        <w:t xml:space="preserve"> экспертизы могут быть даны рекомендации по включению в те</w:t>
      </w:r>
      <w:proofErr w:type="gramStart"/>
      <w:r w:rsidRPr="00E345A5">
        <w:rPr>
          <w:rFonts w:ascii="Arial" w:hAnsi="Arial" w:cs="Arial"/>
          <w:color w:val="0E2F43"/>
          <w:sz w:val="28"/>
          <w:szCs w:val="28"/>
        </w:rPr>
        <w:t>кст пр</w:t>
      </w:r>
      <w:proofErr w:type="gramEnd"/>
      <w:r w:rsidRPr="00E345A5">
        <w:rPr>
          <w:rFonts w:ascii="Arial" w:hAnsi="Arial" w:cs="Arial"/>
          <w:color w:val="0E2F43"/>
          <w:sz w:val="28"/>
          <w:szCs w:val="28"/>
        </w:rPr>
        <w:t xml:space="preserve">евентивных (предупреждающих) </w:t>
      </w:r>
      <w:proofErr w:type="spellStart"/>
      <w:r w:rsidRPr="00E345A5">
        <w:rPr>
          <w:rFonts w:ascii="Arial" w:hAnsi="Arial" w:cs="Arial"/>
          <w:color w:val="0E2F43"/>
          <w:sz w:val="28"/>
          <w:szCs w:val="28"/>
        </w:rPr>
        <w:t>антикоррупционных</w:t>
      </w:r>
      <w:proofErr w:type="spellEnd"/>
      <w:r w:rsidRPr="00E345A5">
        <w:rPr>
          <w:rFonts w:ascii="Arial" w:hAnsi="Arial" w:cs="Arial"/>
          <w:color w:val="0E2F43"/>
          <w:sz w:val="28"/>
          <w:szCs w:val="28"/>
        </w:rPr>
        <w:t xml:space="preserve"> норм.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 xml:space="preserve">Последним этапом </w:t>
      </w:r>
      <w:proofErr w:type="spellStart"/>
      <w:r w:rsidRPr="00E345A5">
        <w:rPr>
          <w:rStyle w:val="a4"/>
          <w:rFonts w:ascii="Arial" w:hAnsi="Arial" w:cs="Arial"/>
          <w:color w:val="0E2F43"/>
          <w:sz w:val="28"/>
          <w:szCs w:val="28"/>
        </w:rPr>
        <w:t>антикоррупционной</w:t>
      </w:r>
      <w:proofErr w:type="spellEnd"/>
      <w:r w:rsidRPr="00E345A5">
        <w:rPr>
          <w:rStyle w:val="a4"/>
          <w:rFonts w:ascii="Arial" w:hAnsi="Arial" w:cs="Arial"/>
          <w:color w:val="0E2F43"/>
          <w:sz w:val="28"/>
          <w:szCs w:val="28"/>
        </w:rPr>
        <w:t xml:space="preserve"> экспертизы является принятие мер по ее результатам.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Составленное по результатам </w:t>
      </w:r>
      <w:proofErr w:type="spellStart"/>
      <w:r w:rsidRPr="00E345A5">
        <w:rPr>
          <w:rFonts w:ascii="Arial" w:hAnsi="Arial" w:cs="Arial"/>
          <w:color w:val="0E2F43"/>
          <w:sz w:val="28"/>
          <w:szCs w:val="28"/>
        </w:rPr>
        <w:t>антикоррупционной</w:t>
      </w:r>
      <w:proofErr w:type="spellEnd"/>
      <w:r w:rsidRPr="00E345A5">
        <w:rPr>
          <w:rFonts w:ascii="Arial" w:hAnsi="Arial" w:cs="Arial"/>
          <w:color w:val="0E2F43"/>
          <w:sz w:val="28"/>
          <w:szCs w:val="28"/>
        </w:rPr>
        <w:t xml:space="preserve"> экспертизы заключение направляется в орган местного самоуправления, принявший нормативный правовой акт либо орган (структурное подразделение, ответственное за разработку проекта муниципального нормативного правового акта).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lastRenderedPageBreak/>
        <w:t xml:space="preserve">При этом необходимо помнить, что в соответствии с частью 5 статьи 3 Федерального закона от 17.07.2009 № 172-ФЗ «Об </w:t>
      </w:r>
      <w:proofErr w:type="spellStart"/>
      <w:r w:rsidRPr="00E345A5">
        <w:rPr>
          <w:rFonts w:ascii="Arial" w:hAnsi="Arial" w:cs="Arial"/>
          <w:color w:val="0E2F43"/>
          <w:sz w:val="28"/>
          <w:szCs w:val="28"/>
        </w:rPr>
        <w:t>антикоррупционной</w:t>
      </w:r>
      <w:proofErr w:type="spellEnd"/>
      <w:r w:rsidRPr="00E345A5">
        <w:rPr>
          <w:rFonts w:ascii="Arial" w:hAnsi="Arial" w:cs="Arial"/>
          <w:color w:val="0E2F43"/>
          <w:sz w:val="28"/>
          <w:szCs w:val="28"/>
        </w:rPr>
        <w:t xml:space="preserve"> экспертизе нормативных правовых актов и проектов нормативных правовых актов» органы, организации, их должностные лица в случае обнаружения в нормативных правовых актах (проектах нормативных правовых актов) коррупциогенных факторов, принятие </w:t>
      </w:r>
      <w:proofErr w:type="gramStart"/>
      <w:r w:rsidRPr="00E345A5">
        <w:rPr>
          <w:rFonts w:ascii="Arial" w:hAnsi="Arial" w:cs="Arial"/>
          <w:color w:val="0E2F43"/>
          <w:sz w:val="28"/>
          <w:szCs w:val="28"/>
        </w:rPr>
        <w:t>мер</w:t>
      </w:r>
      <w:proofErr w:type="gramEnd"/>
      <w:r w:rsidRPr="00E345A5">
        <w:rPr>
          <w:rFonts w:ascii="Arial" w:hAnsi="Arial" w:cs="Arial"/>
          <w:color w:val="0E2F43"/>
          <w:sz w:val="28"/>
          <w:szCs w:val="28"/>
        </w:rPr>
        <w:t xml:space="preserve"> по устранению которых не относится к их компетенции, информируют об этом органы прокуратуры.</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w:t>
      </w:r>
      <w:r w:rsidRPr="00E345A5">
        <w:rPr>
          <w:rStyle w:val="a4"/>
          <w:rFonts w:ascii="Arial" w:hAnsi="Arial" w:cs="Arial"/>
          <w:color w:val="0E2F43"/>
          <w:sz w:val="28"/>
          <w:szCs w:val="28"/>
        </w:rPr>
        <w:t>Перечень и примеры типичных коррупциогенных факторов</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proofErr w:type="spellStart"/>
      <w:r w:rsidRPr="00E345A5">
        <w:rPr>
          <w:rStyle w:val="a4"/>
          <w:rFonts w:ascii="Arial" w:hAnsi="Arial" w:cs="Arial"/>
          <w:color w:val="0E2F43"/>
          <w:sz w:val="28"/>
          <w:szCs w:val="28"/>
        </w:rPr>
        <w:t>Коррупциогенные</w:t>
      </w:r>
      <w:proofErr w:type="spellEnd"/>
      <w:r w:rsidRPr="00E345A5">
        <w:rPr>
          <w:rStyle w:val="a4"/>
          <w:rFonts w:ascii="Arial" w:hAnsi="Arial" w:cs="Arial"/>
          <w:color w:val="0E2F43"/>
          <w:sz w:val="28"/>
          <w:szCs w:val="28"/>
        </w:rPr>
        <w:t xml:space="preserve"> факторы, устанавливающие для </w:t>
      </w:r>
      <w:proofErr w:type="spellStart"/>
      <w:r w:rsidRPr="00E345A5">
        <w:rPr>
          <w:rStyle w:val="a4"/>
          <w:rFonts w:ascii="Arial" w:hAnsi="Arial" w:cs="Arial"/>
          <w:color w:val="0E2F43"/>
          <w:sz w:val="28"/>
          <w:szCs w:val="28"/>
        </w:rPr>
        <w:t>правоприменителя</w:t>
      </w:r>
      <w:proofErr w:type="spellEnd"/>
      <w:r w:rsidRPr="00E345A5">
        <w:rPr>
          <w:rStyle w:val="a4"/>
          <w:rFonts w:ascii="Arial" w:hAnsi="Arial" w:cs="Arial"/>
          <w:color w:val="0E2F43"/>
          <w:sz w:val="28"/>
          <w:szCs w:val="28"/>
        </w:rPr>
        <w:t xml:space="preserve"> необоснованно широкие пределы усмотрения или возможность необоснованного применения исключений из общих правил:</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Дискреционные полномочия – совокупность прав и обязанностей органов местного самоуправления, их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решения либо возможность выбора по своему усмотрению одного из нескольких вариантов решений.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Необходимо сузить до минимума возможность свободного усмотрения должностных лиц органов местного самоуправления, а при установлении права выбора точно определить условия и основания принятия того или иного решения.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pple-converted-space"/>
          <w:rFonts w:ascii="Arial" w:hAnsi="Arial" w:cs="Arial"/>
          <w:b/>
          <w:bCs/>
          <w:i/>
          <w:iCs/>
          <w:color w:val="0E2F43"/>
          <w:sz w:val="28"/>
          <w:szCs w:val="28"/>
        </w:rPr>
        <w:t> </w:t>
      </w:r>
      <w:r w:rsidRPr="00E345A5">
        <w:rPr>
          <w:rStyle w:val="a5"/>
          <w:rFonts w:ascii="Arial" w:hAnsi="Arial" w:cs="Arial"/>
          <w:color w:val="0E2F43"/>
          <w:sz w:val="28"/>
          <w:szCs w:val="28"/>
        </w:rPr>
        <w:t>Семьям, имеющим трех и более несовершеннолетних детей, предоставляются льготы по оплате за содержание ребенка в МОУ в размере</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не более 10%</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затрат на содержание ребенка в МОУ при предоставлении подтверждающих документов.</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lastRenderedPageBreak/>
        <w:t>Необходимо помнить, что в теории административного права компетенция органа местного самоуправления понимается через единство прав и обязанностей, то есть они неразрывно связаны. Разделение прав и обязанностей в формулах «вправе», «может» создает иллюзию того, что в определенных случаях можно использовать полномочие как право (то есть не осуществлять его).</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pple-converted-space"/>
          <w:rFonts w:ascii="Arial" w:hAnsi="Arial" w:cs="Arial"/>
          <w:b/>
          <w:bCs/>
          <w:i/>
          <w:iCs/>
          <w:color w:val="0E2F43"/>
          <w:sz w:val="28"/>
          <w:szCs w:val="28"/>
        </w:rPr>
        <w:t> </w:t>
      </w:r>
      <w:r w:rsidRPr="00E345A5">
        <w:rPr>
          <w:rStyle w:val="a5"/>
          <w:rFonts w:ascii="Arial" w:hAnsi="Arial" w:cs="Arial"/>
          <w:color w:val="0E2F43"/>
          <w:sz w:val="28"/>
          <w:szCs w:val="28"/>
        </w:rPr>
        <w:t>«1.5.1. Конечными результатами предоставления муниципальной услуги</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могут являться</w:t>
      </w:r>
      <w:proofErr w:type="gramStart"/>
      <w:r w:rsidRPr="00E345A5">
        <w:rPr>
          <w:rStyle w:val="a5"/>
          <w:rFonts w:ascii="Arial" w:hAnsi="Arial" w:cs="Arial"/>
          <w:color w:val="0E2F43"/>
          <w:sz w:val="28"/>
          <w:szCs w:val="28"/>
        </w:rPr>
        <w:t>:»</w:t>
      </w:r>
      <w:proofErr w:type="gramEnd"/>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«1.5.2. Процедура предоставления услуги</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может завершаться</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путем:»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«1.6.1. Потребителями результатов предоставления муниципальной услуги</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могут являться</w:t>
      </w:r>
      <w:r w:rsidRPr="00E345A5">
        <w:rPr>
          <w:rStyle w:val="a5"/>
          <w:rFonts w:ascii="Arial" w:hAnsi="Arial" w:cs="Arial"/>
          <w:color w:val="0E2F43"/>
          <w:sz w:val="28"/>
          <w:szCs w:val="28"/>
        </w:rPr>
        <w:t>:»</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3)</w:t>
      </w:r>
      <w:r w:rsidRPr="00E345A5">
        <w:rPr>
          <w:rStyle w:val="apple-converted-space"/>
          <w:rFonts w:ascii="Arial" w:hAnsi="Arial" w:cs="Arial"/>
          <w:color w:val="0E2F43"/>
          <w:sz w:val="28"/>
          <w:szCs w:val="28"/>
        </w:rPr>
        <w:t> </w:t>
      </w:r>
      <w:r w:rsidRPr="00E345A5">
        <w:rPr>
          <w:rStyle w:val="a4"/>
          <w:rFonts w:ascii="Arial" w:hAnsi="Arial" w:cs="Arial"/>
          <w:color w:val="0E2F43"/>
          <w:sz w:val="28"/>
          <w:szCs w:val="28"/>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Коррупционно опасным является любое изменение объема прав заявителя, процедура реализации которых ставится в зависимость от уполномоченной стороны (установление запретов или ограничений, либо, напротив, исключений и предоставление преимуществ, привилегий).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 «</w:t>
      </w:r>
      <w:r w:rsidRPr="00E345A5">
        <w:rPr>
          <w:rStyle w:val="a5"/>
          <w:rFonts w:ascii="Arial" w:hAnsi="Arial" w:cs="Arial"/>
          <w:color w:val="0E2F43"/>
          <w:sz w:val="28"/>
          <w:szCs w:val="28"/>
        </w:rPr>
        <w:t>Резерв формируется на основе результатов соответствующих</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отборочных мероприятий</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Основанием для включения в Резерв являются: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а) для муниципальных служащих муниципального образования: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 рекомендация аттестационной комиссии,</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рекомендация</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руководителя органа местного самоуправления, руководителя структурного подразделения органа местного самоуправления;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б) для государственного гражданского служащего –</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рекомендация</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руководителя государственного органа;</w:t>
      </w:r>
      <w:r w:rsidRPr="00E345A5">
        <w:rPr>
          <w:rStyle w:val="apple-converted-space"/>
          <w:rFonts w:ascii="Arial" w:hAnsi="Arial" w:cs="Arial"/>
          <w:i/>
          <w:iCs/>
          <w:color w:val="0E2F43"/>
          <w:sz w:val="28"/>
          <w:szCs w:val="28"/>
        </w:rPr>
        <w:t> </w:t>
      </w:r>
      <w:proofErr w:type="spellStart"/>
      <w:r w:rsidRPr="00E345A5">
        <w:rPr>
          <w:rStyle w:val="a4"/>
          <w:rFonts w:ascii="Arial" w:hAnsi="Arial" w:cs="Arial"/>
          <w:i/>
          <w:iCs/>
          <w:color w:val="0E2F43"/>
          <w:sz w:val="28"/>
          <w:szCs w:val="28"/>
        </w:rPr>
        <w:t>рекомендация</w:t>
      </w:r>
      <w:r w:rsidRPr="00E345A5">
        <w:rPr>
          <w:rStyle w:val="a5"/>
          <w:rFonts w:ascii="Arial" w:hAnsi="Arial" w:cs="Arial"/>
          <w:color w:val="0E2F43"/>
          <w:sz w:val="28"/>
          <w:szCs w:val="28"/>
        </w:rPr>
        <w:t>руководителя</w:t>
      </w:r>
      <w:proofErr w:type="spellEnd"/>
      <w:r w:rsidRPr="00E345A5">
        <w:rPr>
          <w:rStyle w:val="a5"/>
          <w:rFonts w:ascii="Arial" w:hAnsi="Arial" w:cs="Arial"/>
          <w:color w:val="0E2F43"/>
          <w:sz w:val="28"/>
          <w:szCs w:val="28"/>
        </w:rPr>
        <w:t xml:space="preserve"> органа местного </w:t>
      </w:r>
      <w:r w:rsidRPr="00E345A5">
        <w:rPr>
          <w:rStyle w:val="a5"/>
          <w:rFonts w:ascii="Arial" w:hAnsi="Arial" w:cs="Arial"/>
          <w:color w:val="0E2F43"/>
          <w:sz w:val="28"/>
          <w:szCs w:val="28"/>
        </w:rPr>
        <w:lastRenderedPageBreak/>
        <w:t>самоуправления, руководителя структурного подразделения органа местного самоуправления;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в) для гражданина: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 рекомендация конкурсной комиссии по проведению конкурса на замещение вакантной должности муниципальной службы, в котором гражданин принимал участие, но не победил;</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рекомендация</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руководителя органа местного самоуправления; руководителя структурного подразделения органа местного самоуправления;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представление кадровой службы</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муниципального образования.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4)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pple-converted-space"/>
          <w:rFonts w:ascii="Arial" w:hAnsi="Arial" w:cs="Arial"/>
          <w:b/>
          <w:bCs/>
          <w:i/>
          <w:iCs/>
          <w:color w:val="0E2F43"/>
          <w:sz w:val="28"/>
          <w:szCs w:val="28"/>
        </w:rPr>
        <w:t> </w:t>
      </w:r>
      <w:proofErr w:type="gramStart"/>
      <w:r w:rsidRPr="00E345A5">
        <w:rPr>
          <w:rStyle w:val="a5"/>
          <w:rFonts w:ascii="Arial" w:hAnsi="Arial" w:cs="Arial"/>
          <w:color w:val="0E2F43"/>
          <w:sz w:val="28"/>
          <w:szCs w:val="28"/>
        </w:rPr>
        <w:t>Постановление администрации «О порядке признания безнадежными к взысканию и списания недоимки и задолженности по пеням и штрафам по местным налогам и сборам, в том числе по суммам налоговых санкций за нарушения законодательства Российской Федерации о налогах и сборах» (в соответствии с пунктом 5 статьи 59 Налогового кодекса РФ порядок списания недоимки и задолженности по пеням и штрафам, признанных безнадежными к</w:t>
      </w:r>
      <w:proofErr w:type="gramEnd"/>
      <w:r w:rsidRPr="00E345A5">
        <w:rPr>
          <w:rStyle w:val="a5"/>
          <w:rFonts w:ascii="Arial" w:hAnsi="Arial" w:cs="Arial"/>
          <w:color w:val="0E2F43"/>
          <w:sz w:val="28"/>
          <w:szCs w:val="28"/>
        </w:rPr>
        <w:t xml:space="preserve"> взысканию, а также перечень документов, подтверждающих обстоятельства, предусмотренные пунктом 1 данной статьи, утверждаются федеральным органом исполнительной власти, уполномоченным по контролю и надзору в области налогов и сборов. </w:t>
      </w:r>
      <w:proofErr w:type="gramStart"/>
      <w:r w:rsidRPr="00E345A5">
        <w:rPr>
          <w:rStyle w:val="a5"/>
          <w:rFonts w:ascii="Arial" w:hAnsi="Arial" w:cs="Arial"/>
          <w:color w:val="0E2F43"/>
          <w:sz w:val="28"/>
          <w:szCs w:val="28"/>
        </w:rPr>
        <w:t>Такой порядок утвержден приказом Федеральной налоговой службы от 19.08.2010 № ЯК-7-8/393@).</w:t>
      </w:r>
      <w:proofErr w:type="gramEnd"/>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5)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В целях исключения данного </w:t>
      </w:r>
      <w:proofErr w:type="spellStart"/>
      <w:r w:rsidRPr="00E345A5">
        <w:rPr>
          <w:rFonts w:ascii="Arial" w:hAnsi="Arial" w:cs="Arial"/>
          <w:color w:val="0E2F43"/>
          <w:sz w:val="28"/>
          <w:szCs w:val="28"/>
        </w:rPr>
        <w:t>коррупциогенного</w:t>
      </w:r>
      <w:proofErr w:type="spellEnd"/>
      <w:r w:rsidRPr="00E345A5">
        <w:rPr>
          <w:rFonts w:ascii="Arial" w:hAnsi="Arial" w:cs="Arial"/>
          <w:color w:val="0E2F43"/>
          <w:sz w:val="28"/>
          <w:szCs w:val="28"/>
        </w:rPr>
        <w:t xml:space="preserve">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27.07.2010 № 210-ФЗ «Об организации предоставления государственных и муниципальных услуг».</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lastRenderedPageBreak/>
        <w:t>Пример:</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не утверждены и не действуют административные регламенты по ряду муниципальных услуг.</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6) отказ от конкурсных (аукционных) процедур - закрепление административного порядка предоставления права (блага).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Снижению </w:t>
      </w:r>
      <w:proofErr w:type="spellStart"/>
      <w:r w:rsidRPr="00E345A5">
        <w:rPr>
          <w:rFonts w:ascii="Arial" w:hAnsi="Arial" w:cs="Arial"/>
          <w:color w:val="0E2F43"/>
          <w:sz w:val="28"/>
          <w:szCs w:val="28"/>
        </w:rPr>
        <w:t>коррупциогенности</w:t>
      </w:r>
      <w:proofErr w:type="spellEnd"/>
      <w:r w:rsidRPr="00E345A5">
        <w:rPr>
          <w:rFonts w:ascii="Arial" w:hAnsi="Arial" w:cs="Arial"/>
          <w:color w:val="0E2F43"/>
          <w:sz w:val="28"/>
          <w:szCs w:val="28"/>
        </w:rPr>
        <w:t xml:space="preserve"> способствует использование специальных процедур, именуемых в гражданском праве «торги» (аукционы и конкурсы).</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pple-converted-space"/>
          <w:rFonts w:ascii="Arial" w:hAnsi="Arial" w:cs="Arial"/>
          <w:b/>
          <w:bCs/>
          <w:i/>
          <w:iCs/>
          <w:color w:val="0E2F43"/>
          <w:sz w:val="28"/>
          <w:szCs w:val="28"/>
        </w:rPr>
        <w:t> </w:t>
      </w:r>
      <w:r w:rsidRPr="00E345A5">
        <w:rPr>
          <w:rStyle w:val="a5"/>
          <w:rFonts w:ascii="Arial" w:hAnsi="Arial" w:cs="Arial"/>
          <w:color w:val="0E2F43"/>
          <w:sz w:val="28"/>
          <w:szCs w:val="28"/>
        </w:rPr>
        <w:t>«Решение о передаче недвижимого имущества, находящегося в собственности муниципального образования «город Фатеж», в безвозмездное пользование принимается Собранием депутатов муниципального образования, решение о передаче в аренду муниципального имущества принимает администрация города».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w:t>
      </w:r>
      <w:proofErr w:type="gramStart"/>
      <w:r w:rsidRPr="00E345A5">
        <w:rPr>
          <w:rStyle w:val="a5"/>
          <w:rFonts w:ascii="Arial" w:hAnsi="Arial" w:cs="Arial"/>
          <w:color w:val="0E2F43"/>
          <w:sz w:val="28"/>
          <w:szCs w:val="28"/>
        </w:rPr>
        <w:t>в</w:t>
      </w:r>
      <w:proofErr w:type="gramEnd"/>
      <w:r w:rsidRPr="00E345A5">
        <w:rPr>
          <w:rStyle w:val="a5"/>
          <w:rFonts w:ascii="Arial" w:hAnsi="Arial" w:cs="Arial"/>
          <w:color w:val="0E2F43"/>
          <w:sz w:val="28"/>
          <w:szCs w:val="28"/>
        </w:rPr>
        <w:t xml:space="preserve">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указанных в пунктах 1-13 данной части).</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proofErr w:type="spellStart"/>
      <w:r w:rsidRPr="00E345A5">
        <w:rPr>
          <w:rStyle w:val="a4"/>
          <w:rFonts w:ascii="Arial" w:hAnsi="Arial" w:cs="Arial"/>
          <w:color w:val="0E2F43"/>
          <w:sz w:val="28"/>
          <w:szCs w:val="28"/>
        </w:rPr>
        <w:t>Коррупциогенные</w:t>
      </w:r>
      <w:proofErr w:type="spellEnd"/>
      <w:r w:rsidRPr="00E345A5">
        <w:rPr>
          <w:rStyle w:val="a4"/>
          <w:rFonts w:ascii="Arial" w:hAnsi="Arial" w:cs="Arial"/>
          <w:color w:val="0E2F43"/>
          <w:sz w:val="28"/>
          <w:szCs w:val="28"/>
        </w:rPr>
        <w:t xml:space="preserve"> факторы, содержащие неопределенные, трудновыполнимые и (или) обременительные требования к гражданам и организациям: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Условия (требования), необходимые для реализации субъектом своего права либо исполнения обязанности, обременительны настолько, что превышают уровень разумного. Проявляется при реализации разрешительных и регистрационных полномочий.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Как правило, обнаружить данный фактор в формулировке требований к заявителю можно при анализе оснований для отказа в совершении </w:t>
      </w:r>
      <w:r w:rsidRPr="00E345A5">
        <w:rPr>
          <w:rFonts w:ascii="Arial" w:hAnsi="Arial" w:cs="Arial"/>
          <w:color w:val="0E2F43"/>
          <w:sz w:val="28"/>
          <w:szCs w:val="28"/>
        </w:rPr>
        <w:lastRenderedPageBreak/>
        <w:t xml:space="preserve">действия, приема документов. </w:t>
      </w:r>
      <w:proofErr w:type="spellStart"/>
      <w:r w:rsidRPr="00E345A5">
        <w:rPr>
          <w:rFonts w:ascii="Arial" w:hAnsi="Arial" w:cs="Arial"/>
          <w:color w:val="0E2F43"/>
          <w:sz w:val="28"/>
          <w:szCs w:val="28"/>
        </w:rPr>
        <w:t>Коррупциогенность</w:t>
      </w:r>
      <w:proofErr w:type="spellEnd"/>
      <w:r w:rsidRPr="00E345A5">
        <w:rPr>
          <w:rFonts w:ascii="Arial" w:hAnsi="Arial" w:cs="Arial"/>
          <w:color w:val="0E2F43"/>
          <w:sz w:val="28"/>
          <w:szCs w:val="28"/>
        </w:rPr>
        <w:t xml:space="preserve"> повышается, если перечень оснований для отказа: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а) открытый, то есть не исчерпывающий;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 xml:space="preserve">б) содержит ссылки к основаниям для отказа, </w:t>
      </w:r>
      <w:proofErr w:type="gramStart"/>
      <w:r w:rsidRPr="00E345A5">
        <w:rPr>
          <w:rFonts w:ascii="Arial" w:hAnsi="Arial" w:cs="Arial"/>
          <w:color w:val="0E2F43"/>
          <w:sz w:val="28"/>
          <w:szCs w:val="28"/>
        </w:rPr>
        <w:t>установленном</w:t>
      </w:r>
      <w:proofErr w:type="gramEnd"/>
      <w:r w:rsidRPr="00E345A5">
        <w:rPr>
          <w:rFonts w:ascii="Arial" w:hAnsi="Arial" w:cs="Arial"/>
          <w:color w:val="0E2F43"/>
          <w:sz w:val="28"/>
          <w:szCs w:val="28"/>
        </w:rPr>
        <w:t xml:space="preserve"> в других актах;</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в) содержит «размытые», субъективно-оценочные основания отказа (например, представленные заявителем сведения не соответствуют действительности или представлены не в полном объеме).</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4"/>
          <w:rFonts w:ascii="Arial" w:hAnsi="Arial" w:cs="Arial"/>
          <w:color w:val="0E2F43"/>
          <w:sz w:val="28"/>
          <w:szCs w:val="28"/>
        </w:rPr>
        <w:t>:</w:t>
      </w:r>
      <w:r w:rsidRPr="00E345A5">
        <w:rPr>
          <w:rStyle w:val="apple-converted-space"/>
          <w:rFonts w:ascii="Arial" w:hAnsi="Arial" w:cs="Arial"/>
          <w:b/>
          <w:bCs/>
          <w:color w:val="0E2F43"/>
          <w:sz w:val="28"/>
          <w:szCs w:val="28"/>
        </w:rPr>
        <w:t> </w:t>
      </w:r>
      <w:r w:rsidRPr="00E345A5">
        <w:rPr>
          <w:rFonts w:ascii="Arial" w:hAnsi="Arial" w:cs="Arial"/>
          <w:color w:val="0E2F43"/>
          <w:sz w:val="28"/>
          <w:szCs w:val="28"/>
        </w:rPr>
        <w:t>«</w:t>
      </w:r>
      <w:r w:rsidRPr="00E345A5">
        <w:rPr>
          <w:rStyle w:val="a5"/>
          <w:rFonts w:ascii="Arial" w:hAnsi="Arial" w:cs="Arial"/>
          <w:color w:val="0E2F43"/>
          <w:sz w:val="28"/>
          <w:szCs w:val="28"/>
        </w:rPr>
        <w:t>Предоставление муниципальной услуги осуществляется на основании следующих документов: технический паспорт</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(по данным на день обращения),</w:t>
      </w:r>
      <w:r w:rsidRPr="00E345A5">
        <w:rPr>
          <w:rStyle w:val="apple-converted-space"/>
          <w:rFonts w:ascii="Arial" w:hAnsi="Arial" w:cs="Arial"/>
          <w:i/>
          <w:iCs/>
          <w:color w:val="0E2F43"/>
          <w:sz w:val="28"/>
          <w:szCs w:val="28"/>
        </w:rPr>
        <w:t> </w:t>
      </w:r>
      <w:r w:rsidRPr="00E345A5">
        <w:rPr>
          <w:rStyle w:val="a4"/>
          <w:rFonts w:ascii="Arial" w:hAnsi="Arial" w:cs="Arial"/>
          <w:i/>
          <w:iCs/>
          <w:color w:val="0E2F43"/>
          <w:sz w:val="28"/>
          <w:szCs w:val="28"/>
        </w:rPr>
        <w:t>с указанием износа основных элементов и строения в целом либо технического состояния отдельного помещения, о котором возбуждается ходатайство</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(в случае, если переводимое помещение является жилым</w:t>
      </w:r>
      <w:proofErr w:type="gramStart"/>
      <w:r w:rsidRPr="00E345A5">
        <w:rPr>
          <w:rStyle w:val="a5"/>
          <w:rFonts w:ascii="Arial" w:hAnsi="Arial" w:cs="Arial"/>
          <w:color w:val="0E2F43"/>
          <w:sz w:val="28"/>
          <w:szCs w:val="28"/>
        </w:rPr>
        <w:t>)</w:t>
      </w:r>
      <w:r w:rsidRPr="00E345A5">
        <w:rPr>
          <w:rFonts w:ascii="Arial" w:hAnsi="Arial" w:cs="Arial"/>
          <w:color w:val="0E2F43"/>
          <w:sz w:val="28"/>
          <w:szCs w:val="28"/>
        </w:rPr>
        <w:t>(</w:t>
      </w:r>
      <w:proofErr w:type="gramEnd"/>
      <w:r w:rsidRPr="00E345A5">
        <w:rPr>
          <w:rFonts w:ascii="Arial" w:hAnsi="Arial" w:cs="Arial"/>
          <w:color w:val="0E2F43"/>
          <w:sz w:val="28"/>
          <w:szCs w:val="28"/>
        </w:rPr>
        <w:t>пунктом 3 части 2 статьи 23 Жилищного кодекса РФ содержится требование о предоставлении технического паспорта помещения).</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Fonts w:ascii="Arial" w:hAnsi="Arial" w:cs="Arial"/>
          <w:color w:val="0E2F43"/>
          <w:sz w:val="28"/>
          <w:szCs w:val="28"/>
        </w:rPr>
        <w:t>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pple-converted-space"/>
          <w:rFonts w:ascii="Arial" w:hAnsi="Arial" w:cs="Arial"/>
          <w:i/>
          <w:iCs/>
          <w:color w:val="0E2F43"/>
          <w:sz w:val="28"/>
          <w:szCs w:val="28"/>
        </w:rPr>
        <w:t> </w:t>
      </w:r>
      <w:r w:rsidRPr="00E345A5">
        <w:rPr>
          <w:rStyle w:val="a5"/>
          <w:rFonts w:ascii="Arial" w:hAnsi="Arial" w:cs="Arial"/>
          <w:color w:val="0E2F43"/>
          <w:sz w:val="28"/>
          <w:szCs w:val="28"/>
        </w:rPr>
        <w:t>К заявлению прилагаются следующие документы:</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 при необходимости иные документы.</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4"/>
          <w:rFonts w:ascii="Arial" w:hAnsi="Arial" w:cs="Arial"/>
          <w:color w:val="0E2F43"/>
          <w:sz w:val="28"/>
          <w:szCs w:val="28"/>
        </w:rPr>
        <w:t xml:space="preserve">3) юридико-лингвистическая неопределенность - употребление </w:t>
      </w:r>
      <w:proofErr w:type="spellStart"/>
      <w:r w:rsidRPr="00E345A5">
        <w:rPr>
          <w:rStyle w:val="a4"/>
          <w:rFonts w:ascii="Arial" w:hAnsi="Arial" w:cs="Arial"/>
          <w:color w:val="0E2F43"/>
          <w:sz w:val="28"/>
          <w:szCs w:val="28"/>
        </w:rPr>
        <w:t>неустоявшихся</w:t>
      </w:r>
      <w:proofErr w:type="spellEnd"/>
      <w:r w:rsidRPr="00E345A5">
        <w:rPr>
          <w:rStyle w:val="a4"/>
          <w:rFonts w:ascii="Arial" w:hAnsi="Arial" w:cs="Arial"/>
          <w:color w:val="0E2F43"/>
          <w:sz w:val="28"/>
          <w:szCs w:val="28"/>
        </w:rPr>
        <w:t>, двусмысленных терминов и категорий оценочного характера.</w:t>
      </w:r>
    </w:p>
    <w:p w:rsidR="00E345A5"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b/>
          <w:bCs/>
          <w:color w:val="0E2F43"/>
          <w:sz w:val="28"/>
          <w:szCs w:val="28"/>
        </w:rPr>
        <w:t>Пример:</w:t>
      </w:r>
      <w:r w:rsidRPr="00E345A5">
        <w:rPr>
          <w:rStyle w:val="apple-converted-space"/>
          <w:rFonts w:ascii="Arial" w:hAnsi="Arial" w:cs="Arial"/>
          <w:color w:val="0E2F43"/>
          <w:sz w:val="28"/>
          <w:szCs w:val="28"/>
        </w:rPr>
        <w:t> </w:t>
      </w:r>
      <w:r w:rsidRPr="00E345A5">
        <w:rPr>
          <w:rFonts w:ascii="Arial" w:hAnsi="Arial" w:cs="Arial"/>
          <w:color w:val="0E2F43"/>
          <w:sz w:val="28"/>
          <w:szCs w:val="28"/>
        </w:rPr>
        <w:t>«</w:t>
      </w:r>
      <w:r w:rsidRPr="00E345A5">
        <w:rPr>
          <w:rStyle w:val="a5"/>
          <w:rFonts w:ascii="Arial" w:hAnsi="Arial" w:cs="Arial"/>
          <w:color w:val="0E2F43"/>
          <w:sz w:val="28"/>
          <w:szCs w:val="28"/>
        </w:rPr>
        <w:t>Председатели ТОС населенных пунктов (по согласованию):</w:t>
      </w:r>
    </w:p>
    <w:p w:rsidR="00B87E17" w:rsidRPr="00E345A5" w:rsidRDefault="00E345A5" w:rsidP="00E345A5">
      <w:pPr>
        <w:pStyle w:val="a3"/>
        <w:shd w:val="clear" w:color="auto" w:fill="FFFFFF"/>
        <w:spacing w:before="262" w:beforeAutospacing="0" w:after="262" w:afterAutospacing="0"/>
        <w:jc w:val="both"/>
        <w:rPr>
          <w:rFonts w:ascii="Arial" w:hAnsi="Arial" w:cs="Arial"/>
          <w:color w:val="0E2F43"/>
          <w:sz w:val="28"/>
          <w:szCs w:val="28"/>
        </w:rPr>
      </w:pPr>
      <w:r w:rsidRPr="00E345A5">
        <w:rPr>
          <w:rStyle w:val="a5"/>
          <w:rFonts w:ascii="Arial" w:hAnsi="Arial" w:cs="Arial"/>
          <w:color w:val="0E2F43"/>
          <w:sz w:val="28"/>
          <w:szCs w:val="28"/>
        </w:rPr>
        <w:t>- направляют материалы на</w:t>
      </w:r>
      <w:r w:rsidRPr="00E345A5">
        <w:rPr>
          <w:rStyle w:val="apple-converted-space"/>
          <w:rFonts w:ascii="Arial" w:hAnsi="Arial" w:cs="Arial"/>
          <w:i/>
          <w:iCs/>
          <w:color w:val="0E2F43"/>
          <w:sz w:val="28"/>
          <w:szCs w:val="28"/>
        </w:rPr>
        <w:t> </w:t>
      </w:r>
      <w:r w:rsidRPr="00E345A5">
        <w:rPr>
          <w:rFonts w:ascii="Arial" w:hAnsi="Arial" w:cs="Arial"/>
          <w:color w:val="0E2F43"/>
          <w:sz w:val="28"/>
          <w:szCs w:val="28"/>
        </w:rPr>
        <w:t>нерадивых граждан</w:t>
      </w:r>
      <w:r w:rsidRPr="00E345A5">
        <w:rPr>
          <w:rStyle w:val="a5"/>
          <w:rFonts w:ascii="Arial" w:hAnsi="Arial" w:cs="Arial"/>
          <w:color w:val="0E2F43"/>
          <w:sz w:val="28"/>
          <w:szCs w:val="28"/>
        </w:rPr>
        <w:t>, нарушающих и игнорирующих наведение порядка возле своего жилища в администрацию города.</w:t>
      </w:r>
    </w:p>
    <w:sectPr w:rsidR="00B87E17" w:rsidRPr="00E345A5" w:rsidSect="00B87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E345A5"/>
    <w:rsid w:val="00B87E17"/>
    <w:rsid w:val="00E3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5A5"/>
    <w:rPr>
      <w:b/>
      <w:bCs/>
    </w:rPr>
  </w:style>
  <w:style w:type="character" w:styleId="a5">
    <w:name w:val="Emphasis"/>
    <w:basedOn w:val="a0"/>
    <w:uiPriority w:val="20"/>
    <w:qFormat/>
    <w:rsid w:val="00E345A5"/>
    <w:rPr>
      <w:i/>
      <w:iCs/>
    </w:rPr>
  </w:style>
  <w:style w:type="character" w:customStyle="1" w:styleId="apple-converted-space">
    <w:name w:val="apple-converted-space"/>
    <w:basedOn w:val="a0"/>
    <w:rsid w:val="00E345A5"/>
  </w:style>
</w:styles>
</file>

<file path=word/webSettings.xml><?xml version="1.0" encoding="utf-8"?>
<w:webSettings xmlns:r="http://schemas.openxmlformats.org/officeDocument/2006/relationships" xmlns:w="http://schemas.openxmlformats.org/wordprocessingml/2006/main">
  <w:divs>
    <w:div w:id="281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2266</Words>
  <Characters>12920</Characters>
  <Application>Microsoft Office Word</Application>
  <DocSecurity>0</DocSecurity>
  <Lines>107</Lines>
  <Paragraphs>30</Paragraphs>
  <ScaleCrop>false</ScaleCrop>
  <Company>Computer</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2018-12-06T00:09:00Z</dcterms:created>
  <dcterms:modified xsi:type="dcterms:W3CDTF">2018-12-06T00:13:00Z</dcterms:modified>
</cp:coreProperties>
</file>